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B981" w14:textId="77777777" w:rsidR="00CE1ACB" w:rsidRPr="00CE1ACB" w:rsidRDefault="00CE1ACB" w:rsidP="00CE1ACB">
      <w:pPr>
        <w:spacing w:after="240"/>
        <w:jc w:val="both"/>
        <w:rPr>
          <w:b/>
          <w:sz w:val="28"/>
        </w:rPr>
      </w:pPr>
      <w:r w:rsidRPr="00CE1ACB">
        <w:rPr>
          <w:b/>
          <w:sz w:val="28"/>
        </w:rPr>
        <w:t xml:space="preserve">Röntgen- / isotooppilähetteen vaatimukset </w:t>
      </w:r>
    </w:p>
    <w:p w14:paraId="65C861D4" w14:textId="77777777" w:rsidR="00CE1ACB" w:rsidRPr="00CE1ACB" w:rsidRDefault="00CE1ACB" w:rsidP="00CE1ACB">
      <w:pPr>
        <w:jc w:val="both"/>
      </w:pPr>
      <w:r w:rsidRPr="00CE1ACB">
        <w:t xml:space="preserve">Lääkärillä, joka lähettää potilaan säteilylle altistavaan tutkimukseen, hoitoon tai toimenpiteeseen, tulee olla perustiedot ionisoivan säteilyn haittavaikutuksista ja säteilylle altistavien tutkimusten säteilyannoksista (röntgen- / TT- / isotooppitutkimukset). Lisäksi hänen tulee tuntea tavanomaisia tutkimuksia koskevat suositukset ja ohjeet (mm. Käypä hoito -suositukset, STUK:n ohjeet - esim. </w:t>
      </w:r>
      <w:hyperlink r:id="rId13" w:history="1">
        <w:r w:rsidRPr="00CE1ACB">
          <w:rPr>
            <w:color w:val="0000FF"/>
            <w:u w:val="single"/>
          </w:rPr>
          <w:t>lasten tutkimukset</w:t>
        </w:r>
      </w:hyperlink>
      <w:r w:rsidRPr="00CE1ACB">
        <w:t xml:space="preserve"> ja </w:t>
      </w:r>
      <w:hyperlink r:id="rId14" w:history="1">
        <w:r w:rsidRPr="00CE1ACB">
          <w:rPr>
            <w:color w:val="0000FF"/>
            <w:u w:val="single"/>
          </w:rPr>
          <w:t>oikeutusopas</w:t>
        </w:r>
      </w:hyperlink>
      <w:r w:rsidRPr="00CE1ACB">
        <w:t xml:space="preserve">, </w:t>
      </w:r>
      <w:hyperlink r:id="rId15" w:history="1">
        <w:r w:rsidRPr="00CE1ACB">
          <w:rPr>
            <w:color w:val="0000FF"/>
            <w:u w:val="single"/>
          </w:rPr>
          <w:t>STM:n Yhtenäiset kiireettömän hoidon perusteet/Kuvantaminen</w:t>
        </w:r>
      </w:hyperlink>
      <w:r w:rsidRPr="00CE1ACB">
        <w:t xml:space="preserve">, </w:t>
      </w:r>
      <w:hyperlink r:id="rId16" w:history="1">
        <w:r w:rsidRPr="00CE1ACB">
          <w:rPr>
            <w:color w:val="0000FF"/>
            <w:u w:val="single"/>
          </w:rPr>
          <w:t>Kuvantamisen indikaatio- ja tilaajaohjeet</w:t>
        </w:r>
      </w:hyperlink>
      <w:r w:rsidRPr="00CE1ACB">
        <w:t xml:space="preserve">). </w:t>
      </w:r>
    </w:p>
    <w:p w14:paraId="535DE54B" w14:textId="77777777" w:rsidR="00CE1ACB" w:rsidRPr="00CE1ACB" w:rsidRDefault="00CE1ACB" w:rsidP="00CE1ACB">
      <w:pPr>
        <w:jc w:val="both"/>
      </w:pPr>
    </w:p>
    <w:p w14:paraId="543261EF" w14:textId="77777777" w:rsidR="00CE1ACB" w:rsidRPr="00CE1ACB" w:rsidRDefault="00CE1ACB" w:rsidP="00CE1ACB">
      <w:pPr>
        <w:jc w:val="both"/>
      </w:pPr>
      <w:r w:rsidRPr="00CE1ACB">
        <w:t xml:space="preserve">Lähetteen antavan lääkärin tai hammaslääkärin on osaltaan arvioitava tutkimuksesta, toimenpiteestä tai hoidosta aiheutuvan lääketieteellisen altistuksen oikeutus. Tätä varten hänen tulee hankkia olennainen tieto potilaan aikaisemmista tutkimuksista, toimenpiteistä ja hoidoista sekä tarvittaessa konsultoida radiologia ennen lähetteen antamista. Lähetteen antavan lääkärin ja hammaslääkärin on huolehdittava, että lähetteessä annetaan säteilysuojelun optimointiin tarvittavat tiedot mukaan lukien tutkimus- tai hoitoindikaatio sekä muut tutkimuksen kannalta oleelliset tiedot tutkimuksen suorittavalle yksikölle (mm. raskaustieto) ja lausunnon antavalle lääkärille. </w:t>
      </w:r>
    </w:p>
    <w:p w14:paraId="2BE3F90C" w14:textId="77777777" w:rsidR="00CE1ACB" w:rsidRPr="00CE1ACB" w:rsidRDefault="00CE1ACB" w:rsidP="00CE1ACB">
      <w:pPr>
        <w:jc w:val="both"/>
      </w:pPr>
    </w:p>
    <w:p w14:paraId="63D6186D" w14:textId="77777777" w:rsidR="00CE1ACB" w:rsidRPr="00CE1ACB" w:rsidRDefault="00CE1ACB" w:rsidP="00CE1ACB">
      <w:pPr>
        <w:jc w:val="both"/>
        <w:rPr>
          <w:b/>
        </w:rPr>
      </w:pPr>
      <w:r w:rsidRPr="00CE1ACB">
        <w:rPr>
          <w:b/>
        </w:rPr>
        <w:t>Röntgenlähetteeltä edellytetään seuraavia asiatietoja:</w:t>
      </w:r>
    </w:p>
    <w:p w14:paraId="2773E9FC" w14:textId="77777777" w:rsidR="00CE1ACB" w:rsidRPr="00CE1ACB" w:rsidRDefault="00CE1ACB" w:rsidP="00CE1ACB">
      <w:pPr>
        <w:jc w:val="both"/>
      </w:pPr>
      <w:r w:rsidRPr="00CE1ACB">
        <w:t xml:space="preserve">(koskee röntgen-, magneetti-, ultraääni-, TT- ja isotooppitutkimuksia) </w:t>
      </w:r>
    </w:p>
    <w:p w14:paraId="24E440F7" w14:textId="77777777" w:rsidR="00CE1ACB" w:rsidRPr="00CE1ACB" w:rsidRDefault="00CE1ACB" w:rsidP="00CE1ACB">
      <w:pPr>
        <w:numPr>
          <w:ilvl w:val="0"/>
          <w:numId w:val="19"/>
        </w:numPr>
        <w:tabs>
          <w:tab w:val="num" w:pos="426"/>
        </w:tabs>
        <w:ind w:hanging="720"/>
        <w:jc w:val="both"/>
      </w:pPr>
      <w:r w:rsidRPr="00CE1ACB">
        <w:t>Potilaan tunnistetiedot</w:t>
      </w:r>
    </w:p>
    <w:p w14:paraId="639D0418" w14:textId="77777777" w:rsidR="00CE1ACB" w:rsidRPr="00CE1ACB" w:rsidRDefault="00CE1ACB" w:rsidP="00CE1ACB">
      <w:pPr>
        <w:numPr>
          <w:ilvl w:val="1"/>
          <w:numId w:val="19"/>
        </w:numPr>
        <w:tabs>
          <w:tab w:val="num" w:pos="426"/>
        </w:tabs>
        <w:ind w:hanging="720"/>
        <w:jc w:val="both"/>
      </w:pPr>
      <w:r w:rsidRPr="00CE1ACB">
        <w:t>Varmista, että RIS:ssä on valittuna oikea potilas</w:t>
      </w:r>
    </w:p>
    <w:p w14:paraId="19B2E7AF" w14:textId="77777777" w:rsidR="00CE1ACB" w:rsidRPr="00CE1ACB" w:rsidRDefault="00CE1ACB" w:rsidP="00CE1ACB">
      <w:pPr>
        <w:numPr>
          <w:ilvl w:val="0"/>
          <w:numId w:val="19"/>
        </w:numPr>
        <w:tabs>
          <w:tab w:val="num" w:pos="426"/>
        </w:tabs>
        <w:ind w:hanging="720"/>
        <w:jc w:val="both"/>
      </w:pPr>
      <w:r w:rsidRPr="00CE1ACB">
        <w:t xml:space="preserve">Lähettävän lääkärin nimi ja ammattinimike </w:t>
      </w:r>
    </w:p>
    <w:p w14:paraId="7F6EEBAD" w14:textId="77777777" w:rsidR="00CE1ACB" w:rsidRPr="00CE1ACB" w:rsidRDefault="00CE1ACB" w:rsidP="00CE1ACB">
      <w:pPr>
        <w:numPr>
          <w:ilvl w:val="0"/>
          <w:numId w:val="19"/>
        </w:numPr>
        <w:tabs>
          <w:tab w:val="num" w:pos="426"/>
        </w:tabs>
        <w:ind w:hanging="720"/>
        <w:jc w:val="both"/>
      </w:pPr>
      <w:r w:rsidRPr="00CE1ACB">
        <w:t xml:space="preserve">Oikea lähettävä yksikkö </w:t>
      </w:r>
    </w:p>
    <w:p w14:paraId="5D545A82" w14:textId="77777777" w:rsidR="00CE1ACB" w:rsidRPr="00CE1ACB" w:rsidRDefault="00CE1ACB" w:rsidP="00CE1ACB">
      <w:pPr>
        <w:numPr>
          <w:ilvl w:val="1"/>
          <w:numId w:val="19"/>
        </w:numPr>
        <w:tabs>
          <w:tab w:val="num" w:pos="426"/>
        </w:tabs>
        <w:ind w:hanging="720"/>
        <w:jc w:val="both"/>
      </w:pPr>
      <w:r w:rsidRPr="00CE1ACB">
        <w:t xml:space="preserve">Varmista, että RIS:ssä lähettävä yksikkö on oikein. </w:t>
      </w:r>
    </w:p>
    <w:p w14:paraId="08212770" w14:textId="77777777" w:rsidR="00CE1ACB" w:rsidRPr="00CE1ACB" w:rsidRDefault="00CE1ACB" w:rsidP="00CE1ACB">
      <w:pPr>
        <w:numPr>
          <w:ilvl w:val="0"/>
          <w:numId w:val="19"/>
        </w:numPr>
        <w:tabs>
          <w:tab w:val="num" w:pos="426"/>
        </w:tabs>
        <w:ind w:hanging="720"/>
        <w:jc w:val="both"/>
      </w:pPr>
      <w:r w:rsidRPr="00CE1ACB">
        <w:t>Anamneesi (esitiedot)</w:t>
      </w:r>
    </w:p>
    <w:p w14:paraId="7AF2B0FA" w14:textId="77777777" w:rsidR="00CE1ACB" w:rsidRPr="00CE1ACB" w:rsidRDefault="00CE1ACB" w:rsidP="00CE1ACB">
      <w:pPr>
        <w:numPr>
          <w:ilvl w:val="1"/>
          <w:numId w:val="19"/>
        </w:numPr>
        <w:tabs>
          <w:tab w:val="num" w:pos="426"/>
        </w:tabs>
        <w:ind w:hanging="720"/>
        <w:jc w:val="both"/>
      </w:pPr>
      <w:r w:rsidRPr="00CE1ACB">
        <w:t xml:space="preserve">Pyydettyyn tutkimukseen liittyvät oleelliset esitiedot (yleensä myös tieto tärkeimmistä sairauksista ja aikaisemmasta syövästä). Tutkimus- tai potilaskohtaiset erityisvaatimukset. Tutkimuksen kannalta </w:t>
      </w:r>
      <w:r w:rsidRPr="00CE1ACB">
        <w:rPr>
          <w:b/>
        </w:rPr>
        <w:t xml:space="preserve">oleellinen </w:t>
      </w:r>
      <w:r w:rsidRPr="00CE1ACB">
        <w:t xml:space="preserve">kliininen status </w:t>
      </w:r>
      <w:r w:rsidRPr="00CE1ACB">
        <w:rPr>
          <w:b/>
        </w:rPr>
        <w:t xml:space="preserve">lyhyesti. </w:t>
      </w:r>
    </w:p>
    <w:p w14:paraId="4B7C56FD" w14:textId="77777777" w:rsidR="00CE1ACB" w:rsidRPr="00CE1ACB" w:rsidRDefault="00CE1ACB" w:rsidP="00CE1ACB">
      <w:pPr>
        <w:numPr>
          <w:ilvl w:val="0"/>
          <w:numId w:val="19"/>
        </w:numPr>
        <w:tabs>
          <w:tab w:val="num" w:pos="426"/>
        </w:tabs>
        <w:ind w:hanging="720"/>
        <w:jc w:val="both"/>
      </w:pPr>
      <w:r w:rsidRPr="00CE1ACB">
        <w:t>Riskitiedot</w:t>
      </w:r>
    </w:p>
    <w:p w14:paraId="7C21FE99" w14:textId="77777777" w:rsidR="00CE1ACB" w:rsidRPr="00CE1ACB" w:rsidRDefault="00CE1ACB" w:rsidP="00CE1ACB">
      <w:pPr>
        <w:numPr>
          <w:ilvl w:val="1"/>
          <w:numId w:val="19"/>
        </w:numPr>
        <w:tabs>
          <w:tab w:val="num" w:pos="426"/>
        </w:tabs>
        <w:ind w:hanging="720"/>
        <w:jc w:val="both"/>
      </w:pPr>
      <w:r w:rsidRPr="00CE1ACB">
        <w:t>Mahdolliset tutkimuskohtaiset kontraindikaatiot (esim. jodiallergia, munuaisten vajaatoiminta) ja muut mahdolliset riskitiedot (magneettitutkimuksissa vierasesineet).</w:t>
      </w:r>
    </w:p>
    <w:p w14:paraId="3F3139DB" w14:textId="77777777" w:rsidR="00CE1ACB" w:rsidRPr="00CE1ACB" w:rsidRDefault="00CE1ACB" w:rsidP="00CE1ACB">
      <w:pPr>
        <w:numPr>
          <w:ilvl w:val="0"/>
          <w:numId w:val="19"/>
        </w:numPr>
        <w:tabs>
          <w:tab w:val="num" w:pos="426"/>
        </w:tabs>
        <w:ind w:hanging="720"/>
        <w:jc w:val="both"/>
      </w:pPr>
      <w:r w:rsidRPr="00CE1ACB">
        <w:t>Kysymyksenasettelu</w:t>
      </w:r>
    </w:p>
    <w:p w14:paraId="5E854D37" w14:textId="77777777" w:rsidR="00CE1ACB" w:rsidRPr="00CE1ACB" w:rsidRDefault="00CE1ACB" w:rsidP="00CE1ACB">
      <w:pPr>
        <w:numPr>
          <w:ilvl w:val="1"/>
          <w:numId w:val="19"/>
        </w:numPr>
        <w:tabs>
          <w:tab w:val="num" w:pos="426"/>
        </w:tabs>
        <w:ind w:hanging="720"/>
        <w:jc w:val="both"/>
      </w:pPr>
      <w:r w:rsidRPr="00CE1ACB">
        <w:t>Kliininen kysymys, mihin kuvantamisella halutaan vastaus.</w:t>
      </w:r>
    </w:p>
    <w:p w14:paraId="3AF01BD6" w14:textId="77777777" w:rsidR="00CE1ACB" w:rsidRPr="00CE1ACB" w:rsidRDefault="00CE1ACB" w:rsidP="00CE1ACB">
      <w:pPr>
        <w:numPr>
          <w:ilvl w:val="0"/>
          <w:numId w:val="19"/>
        </w:numPr>
        <w:tabs>
          <w:tab w:val="num" w:pos="426"/>
        </w:tabs>
        <w:ind w:hanging="720"/>
        <w:jc w:val="both"/>
      </w:pPr>
      <w:r w:rsidRPr="00CE1ACB">
        <w:t xml:space="preserve">Kiireellisyysaste </w:t>
      </w:r>
    </w:p>
    <w:p w14:paraId="2868A6F4" w14:textId="4A18EF7B" w:rsidR="00CE1ACB" w:rsidRPr="00CE1ACB" w:rsidRDefault="00CE1ACB" w:rsidP="00CE1ACB">
      <w:pPr>
        <w:numPr>
          <w:ilvl w:val="1"/>
          <w:numId w:val="19"/>
        </w:numPr>
        <w:tabs>
          <w:tab w:val="num" w:pos="426"/>
        </w:tabs>
        <w:ind w:hanging="720"/>
        <w:jc w:val="both"/>
      </w:pPr>
      <w:r w:rsidRPr="00CE1ACB">
        <w:t xml:space="preserve">Jos päivystyksellisesti pyydetty erikoistutkimus on sellainen, että se voidaan toteuttaa seuraavana päivänä virka-aikaan tai </w:t>
      </w:r>
      <w:r w:rsidR="0064092E" w:rsidRPr="00CE1ACB">
        <w:t>1–2</w:t>
      </w:r>
      <w:r w:rsidRPr="00CE1ACB">
        <w:t xml:space="preserve"> vrk:n kuluessa pyynnön teosta, tieto tulee kirjata ”huomioitavaa” kenttään tai ”anamneesi” kenttään.</w:t>
      </w:r>
    </w:p>
    <w:p w14:paraId="51D999AF" w14:textId="77777777" w:rsidR="00CE1ACB" w:rsidRPr="00CE1ACB" w:rsidRDefault="00CE1ACB" w:rsidP="00CE1ACB">
      <w:pPr>
        <w:numPr>
          <w:ilvl w:val="0"/>
          <w:numId w:val="19"/>
        </w:numPr>
        <w:tabs>
          <w:tab w:val="num" w:pos="426"/>
        </w:tabs>
        <w:ind w:hanging="720"/>
        <w:jc w:val="both"/>
      </w:pPr>
      <w:r w:rsidRPr="00CE1ACB">
        <w:t>Tilattava tutkimus / hoitotoimenpide.</w:t>
      </w:r>
    </w:p>
    <w:p w14:paraId="23E9AD83" w14:textId="77777777" w:rsidR="00CE1ACB" w:rsidRDefault="00CE1ACB" w:rsidP="00CE1ACB">
      <w:pPr>
        <w:numPr>
          <w:ilvl w:val="1"/>
          <w:numId w:val="19"/>
        </w:numPr>
        <w:tabs>
          <w:tab w:val="num" w:pos="426"/>
        </w:tabs>
        <w:ind w:hanging="720"/>
        <w:jc w:val="both"/>
      </w:pPr>
      <w:r w:rsidRPr="00CE1ACB">
        <w:t>Valitse oikea tutkimus ja kuvattava puoli. Erikoistutkimusten osalta voi joskus olla vaikea tietää, mikä on oikea tutkimuskoodi. Näissä tapauksissa voi konsultoida radiologia tai valita lähimmän sopivan tutkimuksen. Kun esitiedot ja kysymyksenasettelu on laadittu huolellisesti, voidaan kuvantamisyksikössä tarvittaessa vaihtaa tutkimuskoodi sopivaksi.</w:t>
      </w:r>
    </w:p>
    <w:p w14:paraId="3913B970" w14:textId="68A44921" w:rsidR="0064092E" w:rsidRPr="00CE1ACB" w:rsidRDefault="0064092E" w:rsidP="0064092E">
      <w:pPr>
        <w:numPr>
          <w:ilvl w:val="0"/>
          <w:numId w:val="19"/>
        </w:numPr>
        <w:tabs>
          <w:tab w:val="clear" w:pos="720"/>
          <w:tab w:val="num" w:pos="426"/>
          <w:tab w:val="num" w:pos="1440"/>
        </w:tabs>
        <w:ind w:left="1418" w:hanging="1429"/>
        <w:jc w:val="both"/>
      </w:pPr>
      <w:r>
        <w:t xml:space="preserve">Etälähetteessä tulee olla maininta, että kyseessä on etälähete. Peruste etälähetteen tekemiseen tulee ilmetä. Ohje: </w:t>
      </w:r>
      <w:hyperlink r:id="rId17" w:history="1">
        <w:r w:rsidRPr="00746F55">
          <w:rPr>
            <w:rStyle w:val="Hyperlinkki"/>
          </w:rPr>
          <w:t>Digitaalisen sote-keskuksen kuvantamistutkimukset</w:t>
        </w:r>
      </w:hyperlink>
      <w:r>
        <w:t>.</w:t>
      </w:r>
    </w:p>
    <w:p w14:paraId="56B23362" w14:textId="77777777" w:rsidR="00CE1ACB" w:rsidRPr="00CE1ACB" w:rsidRDefault="00CE1ACB" w:rsidP="00CE1ACB">
      <w:pPr>
        <w:spacing w:line="120" w:lineRule="auto"/>
        <w:jc w:val="both"/>
      </w:pPr>
    </w:p>
    <w:p w14:paraId="0D6A2AAB" w14:textId="19BFBAF4" w:rsidR="00CE1ACB" w:rsidRPr="00CE1ACB" w:rsidRDefault="00CE1ACB" w:rsidP="00CE1ACB">
      <w:pPr>
        <w:jc w:val="both"/>
      </w:pPr>
      <w:r w:rsidRPr="00CE1ACB">
        <w:lastRenderedPageBreak/>
        <w:t xml:space="preserve">Lähetteen (anamneesi + kysymyksenasettelu) tulee olla </w:t>
      </w:r>
      <w:r w:rsidRPr="00CE1ACB">
        <w:rPr>
          <w:b/>
        </w:rPr>
        <w:t>lyhyt, selkeä ja virheetön.</w:t>
      </w:r>
      <w:r w:rsidRPr="00CE1ACB">
        <w:t xml:space="preserve"> Pitkiä lähetteitä on syytä välttää. Lähetteen ei tule sisältää koko sairaushistoriaa tai lääkitystä, ja sen tulee perustua tutkittavan tuoreisiin terveystietoihin. Sairauskertomustekstin suora kopiointi tai ”viittaan edelliseen” – tyyppiset lähetteet eivät täytä hyvän lähetteen kriteerejä. </w:t>
      </w:r>
    </w:p>
    <w:p w14:paraId="3CF3A376" w14:textId="77777777" w:rsidR="00CE1ACB" w:rsidRPr="00CE1ACB" w:rsidRDefault="00CE1ACB" w:rsidP="00CE1ACB">
      <w:pPr>
        <w:jc w:val="both"/>
      </w:pPr>
    </w:p>
    <w:p w14:paraId="69D2A854" w14:textId="075A8B17" w:rsidR="00CE1ACB" w:rsidRDefault="00CE1ACB" w:rsidP="00CE1ACB">
      <w:pPr>
        <w:jc w:val="both"/>
      </w:pPr>
      <w:r w:rsidRPr="00CE1ACB">
        <w:t>Lähete kirjoitetaan RIS:iin. Poikkeus</w:t>
      </w:r>
      <w:r w:rsidR="0064092E">
        <w:t>oloissa</w:t>
      </w:r>
      <w:r w:rsidRPr="00CE1ACB">
        <w:t xml:space="preserve"> voidaan hyväksyä </w:t>
      </w:r>
      <w:hyperlink r:id="rId18" w:history="1">
        <w:r w:rsidRPr="00CE1ACB">
          <w:rPr>
            <w:color w:val="0000FF"/>
            <w:u w:val="single"/>
          </w:rPr>
          <w:t>väliaikainen (kynällä kirjoitettu) lähete</w:t>
        </w:r>
      </w:hyperlink>
      <w:r w:rsidRPr="00CE1ACB">
        <w:t xml:space="preserve"> edellyttäen, että asiatiedot ovat riittävät.</w:t>
      </w:r>
    </w:p>
    <w:p w14:paraId="169B2679" w14:textId="77777777" w:rsidR="00CE1ACB" w:rsidRPr="00CE1ACB" w:rsidRDefault="00CE1ACB" w:rsidP="00CE1ACB">
      <w:pPr>
        <w:jc w:val="both"/>
      </w:pPr>
    </w:p>
    <w:p w14:paraId="51907CC6" w14:textId="399EE97C" w:rsidR="00CE1ACB" w:rsidRPr="00CE1ACB" w:rsidRDefault="00CE1ACB" w:rsidP="00CE1ACB">
      <w:pPr>
        <w:jc w:val="both"/>
      </w:pPr>
      <w:r w:rsidRPr="00CE1ACB">
        <w:t xml:space="preserve">Röntgenlähetteille ei ole virallisesti määriteltyä voimassaoloaikaa. Käytännössä määräaikana pidetään yleensä yhtä vuotta. Röntgenkuvien tulkinnan kannalta on kuitenkin tärkeää, että lähetteessä on ajankohtaiset tiedot potilaan tilanteesta. </w:t>
      </w:r>
      <w:r w:rsidR="005868B6">
        <w:t>J</w:t>
      </w:r>
      <w:r w:rsidR="00FC7043">
        <w:t xml:space="preserve">os lähete on yli vuoden vanha tai kuvantamisyksikössä epäillään lähetteen ajantasaisuutta, niin lähetteen antajan tulee </w:t>
      </w:r>
      <w:r w:rsidR="005868B6">
        <w:t xml:space="preserve">tarkistaa lähetteen ajantasaisuus. </w:t>
      </w:r>
      <w:r w:rsidRPr="00CE1ACB">
        <w:t>Harvoin tapahtuvissa kontrolleissa (esim. syöpäkontrollit) lähete on voimassa kontrollivälin, ellei potilaan voinnissa ole tapahtunut muutoksia.</w:t>
      </w:r>
    </w:p>
    <w:p w14:paraId="2F0FA51A" w14:textId="77777777" w:rsidR="00CE1ACB" w:rsidRPr="00CE1ACB" w:rsidRDefault="00CE1ACB" w:rsidP="00CE1ACB">
      <w:pPr>
        <w:jc w:val="both"/>
      </w:pPr>
    </w:p>
    <w:p w14:paraId="79E6CBD7" w14:textId="3C6A291E" w:rsidR="00AA2438" w:rsidRPr="00F53A45" w:rsidRDefault="00AA2438" w:rsidP="00F53A45"/>
    <w:sectPr w:rsidR="00AA2438" w:rsidRPr="00F53A45" w:rsidSect="007E15E5">
      <w:headerReference w:type="even" r:id="rId19"/>
      <w:headerReference w:type="default" r:id="rId20"/>
      <w:footerReference w:type="even" r:id="rId21"/>
      <w:footerReference w:type="default" r:id="rId22"/>
      <w:headerReference w:type="first" r:id="rId23"/>
      <w:footerReference w:type="first" r:id="rId24"/>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A42B" w14:textId="77777777" w:rsidR="004F286E" w:rsidRDefault="004F286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6E21155"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v:textbox>
            </v:shape>
          </w:pict>
        </mc:Fallback>
      </mc:AlternateContent>
    </w:r>
    <w:r w:rsidR="009D2375">
      <w:rPr>
        <w:szCs w:val="24"/>
      </w:rPr>
      <w:tab/>
    </w:r>
    <w:r w:rsidR="00CE1ACB">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CE1ACB">
          <w:rPr>
            <w:sz w:val="16"/>
            <w:szCs w:val="16"/>
          </w:rPr>
          <w:t>Röntgenlähetteen kriteerit kuv</w:t>
        </w:r>
      </w:sdtContent>
    </w:sdt>
  </w:p>
  <w:p w14:paraId="7CC21439" w14:textId="431816ED" w:rsidR="00824166" w:rsidRPr="00597075" w:rsidRDefault="00824166">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AE20" w14:textId="77777777" w:rsidR="004F286E" w:rsidRDefault="004F286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3496" w14:textId="77777777" w:rsidR="004F286E" w:rsidRDefault="004F286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B1E2F42" w:rsidR="00BD1530" w:rsidRPr="004E7FC1" w:rsidRDefault="00CE1ACB" w:rsidP="00BD1530">
          <w:pPr>
            <w:pStyle w:val="Eivli"/>
            <w:rPr>
              <w:b/>
              <w:bCs/>
              <w:sz w:val="20"/>
              <w:szCs w:val="20"/>
            </w:rPr>
          </w:pPr>
          <w:r>
            <w:rPr>
              <w:b/>
              <w:sz w:val="18"/>
              <w:szCs w:val="18"/>
            </w:rPr>
            <w:t>Menettelyohje 3</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4-07T00:00:00Z">
            <w:dateFormat w:val="d.M.yyyy"/>
            <w:lid w:val="fi-FI"/>
            <w:storeMappedDataAs w:val="dateTime"/>
            <w:calendar w:val="gregorian"/>
          </w:date>
        </w:sdtPr>
        <w:sdtEndPr/>
        <w:sdtContent>
          <w:tc>
            <w:tcPr>
              <w:tcW w:w="3402" w:type="dxa"/>
              <w:vAlign w:val="center"/>
            </w:tcPr>
            <w:p w14:paraId="54748B48" w14:textId="4AD6D37F" w:rsidR="000631E7" w:rsidRPr="004E7FC1" w:rsidRDefault="00E57BFD" w:rsidP="004B08C1">
              <w:pPr>
                <w:pStyle w:val="Eivli"/>
                <w:rPr>
                  <w:sz w:val="20"/>
                  <w:szCs w:val="20"/>
                </w:rPr>
              </w:pPr>
              <w:r>
                <w:rPr>
                  <w:sz w:val="20"/>
                  <w:szCs w:val="20"/>
                </w:rPr>
                <w:t>7.4.2025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FED4" w14:textId="77777777" w:rsidR="004F286E" w:rsidRDefault="004F286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9870DC"/>
    <w:multiLevelType w:val="hybridMultilevel"/>
    <w:tmpl w:val="C71058C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2"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1"/>
  </w:num>
  <w:num w:numId="3" w16cid:durableId="1214081591">
    <w:abstractNumId w:val="1"/>
  </w:num>
  <w:num w:numId="4" w16cid:durableId="334958258">
    <w:abstractNumId w:val="16"/>
  </w:num>
  <w:num w:numId="5" w16cid:durableId="1641032995">
    <w:abstractNumId w:val="0"/>
  </w:num>
  <w:num w:numId="6" w16cid:durableId="2063944667">
    <w:abstractNumId w:val="8"/>
  </w:num>
  <w:num w:numId="7" w16cid:durableId="1862237714">
    <w:abstractNumId w:val="13"/>
  </w:num>
  <w:num w:numId="8" w16cid:durableId="1754813634">
    <w:abstractNumId w:val="13"/>
  </w:num>
  <w:num w:numId="9" w16cid:durableId="1606114846">
    <w:abstractNumId w:val="13"/>
  </w:num>
  <w:num w:numId="10" w16cid:durableId="1477645058">
    <w:abstractNumId w:val="3"/>
  </w:num>
  <w:num w:numId="11" w16cid:durableId="841121598">
    <w:abstractNumId w:val="15"/>
  </w:num>
  <w:num w:numId="12" w16cid:durableId="225991095">
    <w:abstractNumId w:val="9"/>
  </w:num>
  <w:num w:numId="13" w16cid:durableId="70978191">
    <w:abstractNumId w:val="6"/>
  </w:num>
  <w:num w:numId="14" w16cid:durableId="240528770">
    <w:abstractNumId w:val="12"/>
  </w:num>
  <w:num w:numId="15" w16cid:durableId="452208856">
    <w:abstractNumId w:val="14"/>
  </w:num>
  <w:num w:numId="16" w16cid:durableId="1796949018">
    <w:abstractNumId w:val="7"/>
  </w:num>
  <w:num w:numId="17" w16cid:durableId="627246728">
    <w:abstractNumId w:val="5"/>
  </w:num>
  <w:num w:numId="18" w16cid:durableId="1203321292">
    <w:abstractNumId w:val="10"/>
  </w:num>
  <w:num w:numId="19" w16cid:durableId="216013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A7B53"/>
    <w:rsid w:val="004B08C1"/>
    <w:rsid w:val="004C17CF"/>
    <w:rsid w:val="004E7FC1"/>
    <w:rsid w:val="004F243D"/>
    <w:rsid w:val="004F286E"/>
    <w:rsid w:val="004F3163"/>
    <w:rsid w:val="00507403"/>
    <w:rsid w:val="00507CDD"/>
    <w:rsid w:val="00507F61"/>
    <w:rsid w:val="005164BE"/>
    <w:rsid w:val="0051658F"/>
    <w:rsid w:val="005229D6"/>
    <w:rsid w:val="00526F9A"/>
    <w:rsid w:val="0053319B"/>
    <w:rsid w:val="00543A81"/>
    <w:rsid w:val="00551842"/>
    <w:rsid w:val="00572721"/>
    <w:rsid w:val="005868B6"/>
    <w:rsid w:val="00595D0F"/>
    <w:rsid w:val="00597075"/>
    <w:rsid w:val="005C028B"/>
    <w:rsid w:val="005C31E0"/>
    <w:rsid w:val="005D130A"/>
    <w:rsid w:val="00607A25"/>
    <w:rsid w:val="0064092E"/>
    <w:rsid w:val="00645FEE"/>
    <w:rsid w:val="00665636"/>
    <w:rsid w:val="00673E18"/>
    <w:rsid w:val="00684254"/>
    <w:rsid w:val="006A3BD6"/>
    <w:rsid w:val="006A7F7F"/>
    <w:rsid w:val="006F306A"/>
    <w:rsid w:val="006F7151"/>
    <w:rsid w:val="0072107C"/>
    <w:rsid w:val="00746F55"/>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638F"/>
    <w:rsid w:val="00A21728"/>
    <w:rsid w:val="00A232F5"/>
    <w:rsid w:val="00A4584E"/>
    <w:rsid w:val="00A51BFE"/>
    <w:rsid w:val="00A62472"/>
    <w:rsid w:val="00A76BB7"/>
    <w:rsid w:val="00AA2438"/>
    <w:rsid w:val="00AA4C99"/>
    <w:rsid w:val="00AE3114"/>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1ACB"/>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57BFD"/>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C7043"/>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AvattuHyperlinkki">
    <w:name w:val="FollowedHyperlink"/>
    <w:basedOn w:val="Kappaleenoletusfontti"/>
    <w:uiPriority w:val="99"/>
    <w:semiHidden/>
    <w:unhideWhenUsed/>
    <w:rsid w:val="004F286E"/>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julkari.fi/bitstream/handle/10024/125243/STUK-tiedottaa-1-2008.pdf?sequence=1" TargetMode="External"/><Relationship Id="rId18" Type="http://schemas.openxmlformats.org/officeDocument/2006/relationships/hyperlink" Target="https://intra.oysnet.ppshp.fi/dokumentit/Lomakkeet%20sislttyyppi/V&#228;liaikainen%20kuvantamistutkimusl&#228;hete%20oy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hde.sharepoint.com/:w:/r/sites/Sivustoresurssit/_layouts/15/Doc.aspx?sourcedoc=%7B89AEFF20-750B-4A65-B2E8-15D9F67F52EE%7D&amp;file=Digitaalisen%20sote-keskuksen%20kuvantamistutkimukset%20til.docx&amp;action=default&amp;mobileredirect=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oysnet.ppshp.fi/Ohjeet/KuvantamisenOhjeita/Sivut/Menetelm&#228;ohjeYleinen.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julkaisut.valtioneuvosto.fi/bitstream/handle/10024/161496/STM_J02_Yhtenaisen%20kiireettoman%20hoidon%20perusteet.pdf?sequence=4&amp;isAllowed=y"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julkari.fi/bitstream/handle/10024/126288/STUK-opastaa-oikeutus-2015.pdf?sequence=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44</Value>
      <Value>194</Value>
      <Value>1145</Value>
      <Value>617</Value>
      <Value>2419</Value>
      <Value>1315</Value>
      <Value>41</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Lääkärit</TermName>
          <TermId xmlns="http://schemas.microsoft.com/office/infopath/2007/PartnerControls">73b4e2ed-f149-4fe3-836b-fe67fc4b2c82</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Sekä tilaaja- että menetelmäohje</TermName>
          <TermId xmlns="http://schemas.microsoft.com/office/infopath/2007/PartnerControls">a980aedb-afa1-45e8-a272-d2520e7600a3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MUAVRSSTWASF-628417917-389</_dlc_DocId>
    <_dlc_DocIdPersistId xmlns="d3e50268-7799-48af-83c3-9a9b063078bc">false</_dlc_DocIdPersistId>
    <_dlc_DocIdUrl xmlns="d3e50268-7799-48af-83c3-9a9b063078bc">
      <Url>https://internet.oysnet.ppshp.fi/dokumentit/_layouts/15/DocIdRedir.aspx?ID=MUAVRSSTWASF-628417917-389</Url>
      <Description>MUAVRSSTWASF-628417917-389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81BA67DF-99C5-4EE5-AD2B-21116BECE5AD}">
  <ds:schemaRefs>
    <ds:schemaRef ds:uri="http://schemas.microsoft.com/sharepoint/events"/>
  </ds:schemaRefs>
</ds:datastoreItem>
</file>

<file path=customXml/itemProps3.xml><?xml version="1.0" encoding="utf-8"?>
<ds:datastoreItem xmlns:ds="http://schemas.openxmlformats.org/officeDocument/2006/customXml" ds:itemID="{EAE2E60C-8E43-4E61-9E7C-71972C7225C8}"/>
</file>

<file path=customXml/itemProps4.xml><?xml version="1.0" encoding="utf-8"?>
<ds:datastoreItem xmlns:ds="http://schemas.openxmlformats.org/officeDocument/2006/customXml" ds:itemID="{1BDE1EFD-8E1A-4749-8187-77EF41943A09}">
  <ds:schemaRefs>
    <ds:schemaRef ds:uri="Microsoft.SharePoint.Taxonomy.ContentTypeSync"/>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0af04246-5dcb-4e38-b8a1-4adaeb368127"/>
    <ds:schemaRef ds:uri="d3e50268-7799-48af-83c3-9a9b063078b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2</Pages>
  <Words>530</Words>
  <Characters>4300</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Röntgenlähetteen kriteerit kuv</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Röntgenlähetteen kriteerit kuv</dc:title>
  <dc:subject/>
  <dc:creator/>
  <cp:keywords/>
  <dc:description/>
  <cp:lastModifiedBy/>
  <cp:revision>1</cp:revision>
  <dcterms:created xsi:type="dcterms:W3CDTF">2024-02-05T10:43:00Z</dcterms:created>
  <dcterms:modified xsi:type="dcterms:W3CDTF">2025-04-07T08:52:00Z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1145;#Säteilytyön ohje|bb63ec55-3404-4c43-8b7d-8bf524edece7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Lomake (sisältötyypin metatieto)">
    <vt:lpwstr/>
  </property>
  <property fmtid="{D5CDD505-2E9C-101B-9397-08002B2CF9AE}" pid="20" name="_dlc_DocIdItemGuid">
    <vt:lpwstr>1ef68e3f-a9fa-427c-8f86-5ca3c33f8868</vt:lpwstr>
  </property>
  <property fmtid="{D5CDD505-2E9C-101B-9397-08002B2CF9AE}" pid="21" name="Dokumentti jaetaan myös ekstranetissä">
    <vt:bool>true</vt:bool>
  </property>
  <property fmtid="{D5CDD505-2E9C-101B-9397-08002B2CF9AE}" pid="22" name="Erikoisala">
    <vt:lpwstr>44;#radiologia (PPSHP)|347958ae-6fb2-4668-a725-1f6de5332102</vt:lpwstr>
  </property>
  <property fmtid="{D5CDD505-2E9C-101B-9397-08002B2CF9AE}" pid="23" name="Organisaatiotiedon tarkennus toiminnan mukaan">
    <vt:lpwstr/>
  </property>
  <property fmtid="{D5CDD505-2E9C-101B-9397-08002B2CF9AE}" pid="24" name="Kuvantamisen ohjeen elinryhmät (sisältötyypin metatieto)">
    <vt:lpwstr/>
  </property>
  <property fmtid="{D5CDD505-2E9C-101B-9397-08002B2CF9AE}" pid="25" name="Kriisiviestintä">
    <vt:lpwstr/>
  </property>
  <property fmtid="{D5CDD505-2E9C-101B-9397-08002B2CF9AE}" pid="26" name="Toiminnanohjauskäsikirja">
    <vt:lpwstr>2419;#5.8.5 Sisäisten tukiprosessien ohjeet|c840b187-c6b9-4f89-9f13-b4c2e4405953</vt:lpwstr>
  </property>
  <property fmtid="{D5CDD505-2E9C-101B-9397-08002B2CF9AE}" pid="27" name="Kuvantamisen ohjeen tutkimusryhmät (sisältötyypin metatieto)">
    <vt:lpwstr>617;#Yleinen kuvantamisen ohje|e2b7b206-d2e3-4a37-82ab-5214084ee8de</vt:lpwstr>
  </property>
  <property fmtid="{D5CDD505-2E9C-101B-9397-08002B2CF9AE}" pid="28" name="Organisaatiotieto">
    <vt:lpwstr>41;#Kuvantaminen|13fd9652-4cc4-4c00-9faf-49cd9c600ecb</vt:lpwstr>
  </property>
  <property fmtid="{D5CDD505-2E9C-101B-9397-08002B2CF9AE}" pid="29" name="Kuvantamisen tilaaja vai menetelmä">
    <vt:lpwstr>1315;#Sekä tilaaja- että menetelmäohje|a980aedb-afa1-45e8-a272-d2520e7600a3</vt:lpwstr>
  </property>
  <property fmtid="{D5CDD505-2E9C-101B-9397-08002B2CF9AE}" pid="30" name="Toimenpidekoodit">
    <vt:lpwstr/>
  </property>
  <property fmtid="{D5CDD505-2E9C-101B-9397-08002B2CF9AE}" pid="31" name="Kohde- / työntekijäryhmä">
    <vt:lpwstr>194;#Lääkärit|73b4e2ed-f149-4fe3-836b-fe67fc4b2c82</vt:lpwstr>
  </property>
  <property fmtid="{D5CDD505-2E9C-101B-9397-08002B2CF9AE}" pid="32" name="xd_Signature">
    <vt:bool>false</vt:bool>
  </property>
  <property fmtid="{D5CDD505-2E9C-101B-9397-08002B2CF9AE}" pid="33" name="Ryhmät, toimikunnat, toimielimet">
    <vt:lpwstr/>
  </property>
  <property fmtid="{D5CDD505-2E9C-101B-9397-08002B2CF9AE}" pid="34" name="MEO">
    <vt:lpwstr/>
  </property>
  <property fmtid="{D5CDD505-2E9C-101B-9397-08002B2CF9AE}" pid="35" name="Kohdeorganisaatio">
    <vt:lpwstr>41;#Kuvantaminen|13fd9652-4cc4-4c00-9faf-49cd9c600ecb</vt:lpwstr>
  </property>
  <property fmtid="{D5CDD505-2E9C-101B-9397-08002B2CF9AE}" pid="36" name="Order">
    <vt:r8>337600</vt:r8>
  </property>
  <property fmtid="{D5CDD505-2E9C-101B-9397-08002B2CF9AE}" pid="38" name="TaxKeywordTaxHTField">
    <vt:lpwstr/>
  </property>
  <property fmtid="{D5CDD505-2E9C-101B-9397-08002B2CF9AE}" pid="39" name="SharedWithUsers">
    <vt:lpwstr/>
  </property>
</Properties>
</file>